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1768A" w14:textId="77777777" w:rsidR="00563DC4" w:rsidRDefault="00563DC4" w:rsidP="00563DC4">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54D7A0E" w14:textId="77777777" w:rsidR="00563DC4" w:rsidRDefault="00563DC4" w:rsidP="00563DC4">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58503078" w14:textId="77777777" w:rsidR="00563DC4" w:rsidRDefault="00563DC4" w:rsidP="00563DC4">
      <w:pPr>
        <w:widowControl w:val="0"/>
        <w:bidi/>
        <w:spacing w:after="0"/>
        <w:jc w:val="center"/>
        <w:rPr>
          <w:rFonts w:cs="B Mitra" w:hint="cs"/>
          <w:b/>
          <w:bCs/>
          <w:sz w:val="32"/>
          <w:szCs w:val="32"/>
          <w:rtl/>
          <w:lang w:bidi="fa-IR"/>
        </w:rPr>
      </w:pPr>
      <w:r>
        <w:rPr>
          <w:rFonts w:cs="B Mitra" w:hint="cs"/>
          <w:b/>
          <w:bCs/>
          <w:sz w:val="32"/>
          <w:szCs w:val="32"/>
          <w:rtl/>
          <w:lang w:bidi="fa-IR"/>
        </w:rPr>
        <w:t>جلسه 872</w:t>
      </w:r>
    </w:p>
    <w:p w14:paraId="17604D14" w14:textId="77777777" w:rsidR="00563DC4" w:rsidRDefault="00563DC4" w:rsidP="00563DC4">
      <w:pPr>
        <w:widowControl w:val="0"/>
        <w:bidi/>
        <w:spacing w:after="0"/>
        <w:ind w:firstLine="284"/>
        <w:jc w:val="both"/>
        <w:rPr>
          <w:rFonts w:cs="Abz-2 (Badr)" w:hint="cs"/>
          <w:sz w:val="28"/>
          <w:szCs w:val="28"/>
          <w:rtl/>
          <w:lang w:bidi="fa-IR"/>
        </w:rPr>
      </w:pPr>
      <w:bookmarkStart w:id="0" w:name="_Hlk159096966"/>
    </w:p>
    <w:bookmarkEnd w:id="0"/>
    <w:p w14:paraId="6479B7CE"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با توجه به آنچه گذشت، اشکال فرمايش صاحب جواهر هم آشکار می</w:t>
      </w:r>
      <w:r>
        <w:rPr>
          <w:rFonts w:cs="Abz-2 (Badr)" w:hint="cs"/>
          <w:color w:val="000000" w:themeColor="text1"/>
          <w:sz w:val="28"/>
          <w:szCs w:val="28"/>
          <w:rtl/>
          <w:lang w:bidi="fa-IR"/>
        </w:rPr>
        <w:softHyphen/>
        <w:t>شود.</w:t>
      </w:r>
    </w:p>
    <w:p w14:paraId="2C8D34E0" w14:textId="77777777" w:rsidR="00563DC4" w:rsidRDefault="00563DC4" w:rsidP="00563DC4">
      <w:pPr>
        <w:widowControl w:val="0"/>
        <w:bidi/>
        <w:spacing w:after="0" w:line="252" w:lineRule="auto"/>
        <w:ind w:firstLine="284"/>
        <w:jc w:val="both"/>
        <w:rPr>
          <w:rFonts w:cs="Abz-2 (Badr)"/>
          <w:color w:val="000000" w:themeColor="text1"/>
          <w:sz w:val="28"/>
          <w:szCs w:val="28"/>
          <w:lang w:bidi="ar"/>
        </w:rPr>
      </w:pPr>
      <w:r>
        <w:rPr>
          <w:rFonts w:cs="Abz-2 (Badr)" w:hint="cs"/>
          <w:color w:val="000000" w:themeColor="text1"/>
          <w:sz w:val="28"/>
          <w:szCs w:val="28"/>
          <w:rtl/>
          <w:lang w:bidi="fa-IR"/>
        </w:rPr>
        <w:t>ايشان در خصوص عمل به اخبار دسته دوم و سوم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لولا الإجماع لأمكن أن يقال في وجه العمل بالنصوص الثلاثة: إنّ الحامل المتوفّى عنها زوجها لا تسقط نفقتها من جهة شغلها بالحمل، إلا أنّها من مال الحمل مع انفصاله، لأولويّته من غيره من الورثة بذلك، وإلا فمن الجميع، ضرورة رجوع المال المعزول إليهم أجمع، فيصدق حينئذٍ أنّ نفقتها من جميع المال ومن مال الزوج.»</w:t>
      </w:r>
      <w:r>
        <w:rPr>
          <w:rFonts w:cs="Abz-2 (Badr)"/>
          <w:color w:val="000000" w:themeColor="text1"/>
          <w:sz w:val="28"/>
          <w:szCs w:val="28"/>
          <w:vertAlign w:val="superscript"/>
          <w:rtl/>
          <w:lang w:bidi="ar"/>
        </w:rPr>
        <w:footnoteReference w:id="1"/>
      </w:r>
    </w:p>
    <w:p w14:paraId="40324373"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واقع مدعای ايشان اين است که چون نفقه از مالی که برای حمل کنار گذاشته شده است پرداخت می</w:t>
      </w:r>
      <w:r>
        <w:rPr>
          <w:rFonts w:cs="Abz-2 (Badr)" w:hint="cs"/>
          <w:color w:val="000000" w:themeColor="text1"/>
          <w:sz w:val="28"/>
          <w:szCs w:val="28"/>
          <w:rtl/>
          <w:lang w:bidi="fa-IR"/>
        </w:rPr>
        <w:softHyphen/>
        <w:t>شود، اگر حمل زنده متولد شد، می</w:t>
      </w:r>
      <w:r>
        <w:rPr>
          <w:rFonts w:cs="Abz-2 (Badr)" w:hint="cs"/>
          <w:color w:val="000000" w:themeColor="text1"/>
          <w:sz w:val="28"/>
          <w:szCs w:val="28"/>
          <w:rtl/>
          <w:lang w:bidi="fa-IR"/>
        </w:rPr>
        <w:softHyphen/>
        <w:t>توان گفت که از سهم او از ارث، نفقه پرداخت شده است و خبر کنانی را بر اين مورد حمل می</w:t>
      </w:r>
      <w:r>
        <w:rPr>
          <w:rFonts w:cs="Abz-2 (Badr)" w:hint="cs"/>
          <w:color w:val="000000" w:themeColor="text1"/>
          <w:sz w:val="28"/>
          <w:szCs w:val="28"/>
          <w:rtl/>
          <w:lang w:bidi="fa-IR"/>
        </w:rPr>
        <w:softHyphen/>
        <w:t>کنيم، وگرنه نفقه از سهم جميع ورثه پرداخت شده است و می</w:t>
      </w:r>
      <w:r>
        <w:rPr>
          <w:rFonts w:cs="Abz-2 (Badr)" w:hint="cs"/>
          <w:color w:val="000000" w:themeColor="text1"/>
          <w:sz w:val="28"/>
          <w:szCs w:val="28"/>
          <w:rtl/>
          <w:lang w:bidi="fa-IR"/>
        </w:rPr>
        <w:softHyphen/>
        <w:t>توان ادعا کرد که در اين صورت نفقه از اصل ما ترک داده شده است و صحيحه محمد بن مسلم و معتبره سکونی بر اين مورد قابل حمل هستند.</w:t>
      </w:r>
    </w:p>
    <w:p w14:paraId="635276F4"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اولاً: اين حمل تبرعی بوده و شاهدی برای آن وجود ندارد.</w:t>
      </w:r>
    </w:p>
    <w:p w14:paraId="6DAA6939"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ثانياً: پرداخت نفقه از اصل ما ترک به اين معناست که قبل از اين که سهمی برای وراث در نظر گرفته شود، نفقه به مانند باقی ديون ميت، از ما ترک وی کسر می</w:t>
      </w:r>
      <w:r>
        <w:rPr>
          <w:rFonts w:cs="Abz-2 (Badr)" w:hint="cs"/>
          <w:color w:val="000000" w:themeColor="text1"/>
          <w:sz w:val="28"/>
          <w:szCs w:val="28"/>
          <w:rtl/>
          <w:lang w:bidi="fa-IR"/>
        </w:rPr>
        <w:softHyphen/>
        <w:t>شود. بنابر اين نفقه در اين صورت از سهم حمل از ارث پرداخت نمی</w:t>
      </w:r>
      <w:r>
        <w:rPr>
          <w:rFonts w:cs="Abz-2 (Badr)" w:hint="cs"/>
          <w:color w:val="000000" w:themeColor="text1"/>
          <w:sz w:val="28"/>
          <w:szCs w:val="28"/>
          <w:rtl/>
          <w:lang w:bidi="fa-IR"/>
        </w:rPr>
        <w:softHyphen/>
        <w:t>شود، بلکه بعد از کسر مقدار نفقه، سهم حمل نيز به مانند سائر ورثه از مابقی مال کنار گذاشته می</w:t>
      </w:r>
      <w:r>
        <w:rPr>
          <w:rFonts w:cs="Abz-2 (Badr)" w:hint="cs"/>
          <w:color w:val="000000" w:themeColor="text1"/>
          <w:sz w:val="28"/>
          <w:szCs w:val="28"/>
          <w:rtl/>
          <w:lang w:bidi="fa-IR"/>
        </w:rPr>
        <w:softHyphen/>
        <w:t>شود.</w:t>
      </w:r>
    </w:p>
    <w:p w14:paraId="3D938FD7"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آخرين نکته</w:t>
      </w:r>
      <w:r>
        <w:rPr>
          <w:rFonts w:cs="Abz-2 (Badr)" w:hint="cs"/>
          <w:color w:val="000000" w:themeColor="text1"/>
          <w:sz w:val="28"/>
          <w:szCs w:val="28"/>
          <w:rtl/>
          <w:lang w:bidi="fa-IR"/>
        </w:rPr>
        <w:softHyphen/>
        <w:t xml:space="preserve">ای که در اين مسأله وجود دارد اين است که بر اساس آنچه که در جمع اخبار از ما گذشت، چنانچه حمل قبل از تولد از دنيا برود، مالی که به نفقه از سهم او از ميراث به عنوان نفقه به حامل پرداخت شده بود، چه تکليفی </w:t>
      </w:r>
      <w:r>
        <w:rPr>
          <w:rFonts w:cs="Abz-2 (Badr)" w:hint="cs"/>
          <w:color w:val="000000" w:themeColor="text1"/>
          <w:sz w:val="28"/>
          <w:szCs w:val="28"/>
          <w:rtl/>
          <w:lang w:bidi="fa-IR"/>
        </w:rPr>
        <w:lastRenderedPageBreak/>
        <w:t>خواهد داشت؟</w:t>
      </w:r>
    </w:p>
    <w:p w14:paraId="610206BE"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مقتضای قاعده اين است که چون ملکيت حمل بر مالی که به عنوان سهم وی از ارث کنار گذاشته می</w:t>
      </w:r>
      <w:r>
        <w:rPr>
          <w:rFonts w:cs="Abz-2 (Badr)" w:hint="cs"/>
          <w:color w:val="000000" w:themeColor="text1"/>
          <w:sz w:val="28"/>
          <w:szCs w:val="28"/>
          <w:rtl/>
          <w:lang w:bidi="fa-IR"/>
        </w:rPr>
        <w:softHyphen/>
        <w:t>شود، به نحو شرط متأخر مشروط بر اين است که زنده متولد شود، در صورتی که اين اتفاق نيفتد، معلوم می</w:t>
      </w:r>
      <w:r>
        <w:rPr>
          <w:rFonts w:cs="Abz-2 (Badr)" w:hint="cs"/>
          <w:color w:val="000000" w:themeColor="text1"/>
          <w:sz w:val="28"/>
          <w:szCs w:val="28"/>
          <w:rtl/>
          <w:lang w:bidi="fa-IR"/>
        </w:rPr>
        <w:softHyphen/>
        <w:t>شود که آنچه که به حامل به عنوان نفقه داده شده است، در واقع مال سائر وراث بوده است، و از آنجا که وجهی برای اين که نفقه حامل به سائر وراث تحميل شود وجود ندارد و بلکه در اين صورت چون حمل فاقد مال بوده است، نفقه وی بر مادر او واجب بوده است، بر حامل واجب است که آن مال را به وراث مسترد دارد.</w:t>
      </w:r>
    </w:p>
    <w:p w14:paraId="25C9867C"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بله، اگر بگوييم که جدّ پدری در تکليف پرداخت نفقه</w:t>
      </w:r>
      <w:r>
        <w:rPr>
          <w:rFonts w:cs="Abz-2 (Badr)" w:hint="cs"/>
          <w:color w:val="000000" w:themeColor="text1"/>
          <w:sz w:val="28"/>
          <w:szCs w:val="28"/>
          <w:rtl/>
          <w:lang w:bidi="fa-IR"/>
        </w:rPr>
        <w:softHyphen/>
        <w:t>ی فرزند بر مادر مقدّم است و حمل نيز جدّی داشته باشد که توانايی پرداخت نفقه</w:t>
      </w:r>
      <w:r>
        <w:rPr>
          <w:rFonts w:cs="Abz-2 (Badr)" w:hint="cs"/>
          <w:color w:val="000000" w:themeColor="text1"/>
          <w:sz w:val="28"/>
          <w:szCs w:val="28"/>
          <w:rtl/>
          <w:lang w:bidi="fa-IR"/>
        </w:rPr>
        <w:softHyphen/>
        <w:t>ی او را دارد، بعيد نيست که بگوييم گرفتن نفقه</w:t>
      </w:r>
      <w:r>
        <w:rPr>
          <w:rFonts w:cs="Abz-2 (Badr)" w:hint="cs"/>
          <w:color w:val="000000" w:themeColor="text1"/>
          <w:sz w:val="28"/>
          <w:szCs w:val="28"/>
          <w:rtl/>
          <w:lang w:bidi="fa-IR"/>
        </w:rPr>
        <w:softHyphen/>
        <w:t>ی جنين در اين صورت از جدّ جايز است.</w:t>
      </w:r>
    </w:p>
    <w:p w14:paraId="3F390642"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مطلبی که در کلمات محقق گذشت مبنی بر اين که زوجه استحقاق نفقه دارد، چه مسلمان باشد و چه ذمّيه، چه حره باشد و چه امه، مستفاد از اطلاقات ادله نفقات است. البته معلوم است که استحقاق زوجه ذمی برای نفقه منوط بر اين است که نکاح دائم با ذميّة تجويز گردد که چون طبق نظر ما اين مسأله جايز است، اشکالی در استحقاق زوجه ذميه برای نفقه وجود نخواهد داشت.</w:t>
      </w:r>
    </w:p>
    <w:p w14:paraId="09B1E932"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ممکن است در خصوص استحقاق زوجه ذميّه برای نفقه اشکالی به ذهن برسد و آن اين که اگر ذمّيّه بر طبق مذهب خود، استحقاق نفقه نداشته باشد، وجهی برای اين که بر زوج دادن نفقه وی واجب باشد، وجود نخواهد داشت، زيرا زوج می</w:t>
      </w:r>
      <w:r>
        <w:rPr>
          <w:rFonts w:cs="Abz-2 (Badr)" w:hint="cs"/>
          <w:color w:val="000000" w:themeColor="text1"/>
          <w:sz w:val="28"/>
          <w:szCs w:val="28"/>
          <w:rtl/>
          <w:lang w:bidi="fa-IR"/>
        </w:rPr>
        <w:softHyphen/>
        <w:t>تواند با اخذ به قاعده الزام، خود را مبرّای از تکليف به دادن نفقه بداند، مگر اين که در ضمن عقد شرطی برای دادن نفقه توسط وی شده باشد.</w:t>
      </w:r>
    </w:p>
    <w:p w14:paraId="094BE721"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تماميت اين اشکال مبتنی بر تماميت ادله قاعده الزام و دايره اعتبار و حجيّت آن است که در جالی خود بايد مورد بررسی قرار بگيرد.</w:t>
      </w:r>
    </w:p>
    <w:p w14:paraId="3FEE86CC"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خصوص استحقاق زوجه امه برای نفقه نيز مطالبی در کتب اصحاب وارد شده است که چون خارج از محل ابتلاست، از ذکر آنها صرف</w:t>
      </w:r>
      <w:r>
        <w:rPr>
          <w:rFonts w:cs="Abz-2 (Badr)" w:hint="cs"/>
          <w:color w:val="000000" w:themeColor="text1"/>
          <w:sz w:val="28"/>
          <w:szCs w:val="28"/>
          <w:rtl/>
          <w:lang w:bidi="fa-IR"/>
        </w:rPr>
        <w:softHyphen/>
        <w:t>نظر می</w:t>
      </w:r>
      <w:r>
        <w:rPr>
          <w:rFonts w:cs="Abz-2 (Badr)" w:hint="cs"/>
          <w:color w:val="000000" w:themeColor="text1"/>
          <w:sz w:val="28"/>
          <w:szCs w:val="28"/>
          <w:rtl/>
          <w:lang w:bidi="fa-IR"/>
        </w:rPr>
        <w:softHyphen/>
        <w:t>کنيم.</w:t>
      </w:r>
    </w:p>
    <w:p w14:paraId="3CB62796" w14:textId="77777777" w:rsidR="00563DC4" w:rsidRDefault="00563DC4" w:rsidP="00563DC4">
      <w:pPr>
        <w:rPr>
          <w:rFonts w:cs="Abz-2 (Badr)" w:hint="cs"/>
          <w:color w:val="000000" w:themeColor="text1"/>
          <w:sz w:val="28"/>
          <w:szCs w:val="28"/>
          <w:rtl/>
          <w:lang w:bidi="fa-IR"/>
        </w:rPr>
      </w:pPr>
      <w:r>
        <w:rPr>
          <w:rFonts w:cs="Abz-2 (Badr)" w:hint="cs"/>
          <w:color w:val="000000" w:themeColor="text1"/>
          <w:sz w:val="28"/>
          <w:szCs w:val="28"/>
          <w:rtl/>
          <w:lang w:bidi="fa-IR"/>
        </w:rPr>
        <w:lastRenderedPageBreak/>
        <w:br w:type="page"/>
      </w:r>
    </w:p>
    <w:p w14:paraId="3319796A" w14:textId="77777777" w:rsidR="00563DC4" w:rsidRDefault="00563DC4" w:rsidP="00563DC4">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lastRenderedPageBreak/>
        <w:t xml:space="preserve">بمقتضى ما تقدّم، يتبيّن وجه الإشكال في ما أفاده صاحب الجواهر؛ فإنّه قال في مقام التمسّك بأخبار الطائفتين الثانية والثالثة: </w:t>
      </w:r>
      <w:r>
        <w:rPr>
          <w:rFonts w:cs="Abz-2 (Badr)" w:hint="cs"/>
          <w:color w:val="0070C0"/>
          <w:sz w:val="28"/>
          <w:szCs w:val="28"/>
          <w:rtl/>
          <w:lang w:bidi="fa-IR"/>
        </w:rPr>
        <w:t>«</w:t>
      </w:r>
      <w:r>
        <w:rPr>
          <w:rFonts w:cs="Abz-2 (Badr)" w:hint="cs"/>
          <w:color w:val="0070C0"/>
          <w:sz w:val="28"/>
          <w:szCs w:val="28"/>
          <w:rtl/>
          <w:lang w:bidi="ar"/>
        </w:rPr>
        <w:t>لولا الإجماع لأمكن أن يقال في وجه العمل بالنصوص الثلاثة: إنّ الحامل المتوفّى عنها زوجها لا تسقط نفقتها من جهة شغلها بالحمل، إلا أنّها من مال الحمل مع انفصاله، لأولويّته من غيره من الورثة بذلك، وإلا فمن الجميع، ضرورة رجوع المال المعزول إليهم أجمع، فيصدق حينئذٍ أنّ نفقتها من جميع المال ومن مال الزوج.»</w:t>
      </w:r>
      <w:r>
        <w:rPr>
          <w:rFonts w:cs="Abz-2 (Badr)"/>
          <w:color w:val="000000" w:themeColor="text1"/>
          <w:sz w:val="28"/>
          <w:szCs w:val="28"/>
          <w:vertAlign w:val="superscript"/>
          <w:rtl/>
          <w:lang w:bidi="ar"/>
        </w:rPr>
        <w:footnoteReference w:id="2"/>
      </w:r>
    </w:p>
    <w:p w14:paraId="73539BC4" w14:textId="77777777" w:rsidR="00563DC4" w:rsidRDefault="00563DC4" w:rsidP="00563DC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فحاصل دعواه أنّه لمّا كانت النفقة تدفع ممّا يجعل للحمل من المال، فلو ولد الحمل حيّاً أمكن القول بأنّ النفقة قد صرفت من سهمه من الأرث، فيحمل خبر الكناني على هذا الفرض</w:t>
      </w:r>
      <w:r>
        <w:rPr>
          <w:rFonts w:cs="Abz-2 (Badr)" w:hint="cs"/>
          <w:color w:val="000000" w:themeColor="text1"/>
          <w:sz w:val="28"/>
          <w:szCs w:val="28"/>
          <w:rtl/>
          <w:lang w:bidi="fa-IR"/>
        </w:rPr>
        <w:t xml:space="preserve">. </w:t>
      </w:r>
      <w:r>
        <w:rPr>
          <w:rFonts w:cs="Abz-2 (Badr)" w:hint="cs"/>
          <w:color w:val="000000" w:themeColor="text1"/>
          <w:sz w:val="28"/>
          <w:szCs w:val="28"/>
          <w:rtl/>
        </w:rPr>
        <w:t>وأمّا إن لم يولد حيّاً، كانت النفقة مأخوذة من سهام سائر الورثة جميعاً، فيمكن حينئذٍ الادّعاء بأنّ النفقة قد دفعت من أصل التركة، وتكون صحيحة محمّد بن مسلم ومعتبرة السكوني قابلتين للحمل على هذا المورد.</w:t>
      </w:r>
    </w:p>
    <w:p w14:paraId="698B9A3F" w14:textId="77777777" w:rsidR="00563DC4" w:rsidRDefault="00563DC4" w:rsidP="00563DC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إلا أنّه أوّلاً: إنّ هذا الحمل تبرّعي ولا شاهد له.</w:t>
      </w:r>
    </w:p>
    <w:p w14:paraId="2BA96065" w14:textId="77777777" w:rsidR="00563DC4" w:rsidRDefault="00563DC4" w:rsidP="00563DC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وثانياً: إنّ دفع النفقة من أصل التركة معناه أنّه قبل أن يلحظ نصيب للورثة، تستوفى النفقة ـ كسائر ديون الميّت ـ من تركته. وبناءً على ذلك، لا تكون النفقة في هذه الصورة مدفوعة من سهم الحمل من الإرث، بل بعد استيفاء مقدار النفقة يجعل للحمل نصيبه من الباقي كما يجعل لسائر الورثة.</w:t>
      </w:r>
    </w:p>
    <w:p w14:paraId="1BE3BFB0" w14:textId="77777777" w:rsidR="00563DC4" w:rsidRDefault="00563DC4" w:rsidP="00563DC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أمّا آخر ما ينبغي التنبيه عليه في هذه المسألة هو أنّه بناءً على ما تقدّم منّا في وجه الجمع بين الأخبار، فلو مات الحمل قبل ولادته، فما هو حكم المال الذي دفع إلى الحامل نفقة من سهمه من الميراث؟</w:t>
      </w:r>
    </w:p>
    <w:p w14:paraId="0B3D70DF"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مقتضى القاعدة أنّ ملكيّة الحمل لمّا يجعل له من المال بعنوان سهمه من الإرث مشروطة بأن يولد حيّاً بنحو الشرط المتأخّر، فإذا لم يتحقّق هذا الشرط تبيّن أنّ ما دفع إلى الحامل بعنوان النفقة كان في الواقع مال سائر الورثة. وحيث لا موجب لتحميل نفقة الحمل على سائر الورثة بل تكون نفقته على أُمّه مع فقدانه للمال، وجب على الحامل أن تردّ ذلك المال إلى الورثة</w:t>
      </w:r>
      <w:r>
        <w:rPr>
          <w:rFonts w:cs="Abz-2 (Badr)" w:hint="cs"/>
          <w:color w:val="000000" w:themeColor="text1"/>
          <w:sz w:val="28"/>
          <w:szCs w:val="28"/>
          <w:rtl/>
          <w:lang w:bidi="fa-IR"/>
        </w:rPr>
        <w:t>.</w:t>
      </w:r>
    </w:p>
    <w:p w14:paraId="4F1FDBC0"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نعم، إن قلنا بأنّ الجدّ للأب مقدّم علی الأُمّ في التکليف بدفع نفقة الولد وکان للحمل جدّ متمکّن من دفع نفقته، لا يبعد </w:t>
      </w:r>
      <w:r>
        <w:rPr>
          <w:rFonts w:cs="Abz-2 (Badr)" w:hint="cs"/>
          <w:color w:val="000000" w:themeColor="text1"/>
          <w:sz w:val="28"/>
          <w:szCs w:val="28"/>
          <w:rtl/>
          <w:lang w:bidi="fa-IR"/>
        </w:rPr>
        <w:lastRenderedPageBreak/>
        <w:t>أن القول بجواز أخذ نفقة الحمل من الجدّ حينئذٍ.</w:t>
      </w:r>
    </w:p>
    <w:p w14:paraId="143E2C32" w14:textId="77777777" w:rsidR="00563DC4" w:rsidRDefault="00563DC4" w:rsidP="00563DC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وأمّا ما تقدّم في كلام المحقّق من أنّ الزوجة تستحقّ النفقة، مسلمة كانت أو ذمّيّة، حرّة كانت أو أمة، فهو مستفاد من إطلاقات أدلّة النفقات. ومن المعلوم أنّ استحقاق الزوجة الذمّيّة للنفقة متوقّف على جواز النكاح الدائم بها، وحيث إنّ هذا الأمر جائز عندنا، فلا إشكال في استحقاق الزوجة الذمّيّة للنفقة.</w:t>
      </w:r>
    </w:p>
    <w:p w14:paraId="30322CAB" w14:textId="77777777" w:rsidR="00563DC4" w:rsidRDefault="00563DC4" w:rsidP="00563DC4">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نعم، قد يرد إلى الذهن إشكال في خصوص استحقاق الزوجة الذمّيّة للنفقة، وهو أنّه لو كانت الذمّيّة بحسب مذهبها لا تستحقّ النفقة، فلا وجه لوجوب إعطاء الزوج نفقتها، إذ يمكن للزوج التمسّك بقاعدة الإلزام للحكم ببراءة ذمّته عن التكليف بدفع النفقة، إلا إذا اشترط عليه دفع النفقة ضمن العقد</w:t>
      </w:r>
      <w:r>
        <w:rPr>
          <w:rFonts w:cs="Abz-2 (Badr)" w:hint="cs"/>
          <w:color w:val="000000" w:themeColor="text1"/>
          <w:sz w:val="28"/>
          <w:szCs w:val="28"/>
          <w:rtl/>
          <w:lang w:bidi="fa-IR"/>
        </w:rPr>
        <w:t>.</w:t>
      </w:r>
    </w:p>
    <w:p w14:paraId="0FE85FEF" w14:textId="77777777" w:rsidR="00563DC4" w:rsidRDefault="00563DC4" w:rsidP="00563DC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إلا أنّ تماميّة هذا الإشكال مبنيّة على تماميّة أدلّة قاعدة الإلزام وسعة دائرتها وحجّيّتها، وهو أمر ينبغي بحثه في محلّه.</w:t>
      </w:r>
    </w:p>
    <w:p w14:paraId="60B5160F" w14:textId="77777777" w:rsidR="00563DC4" w:rsidRDefault="00563DC4" w:rsidP="00563DC4">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وأمّا بالنسبة إلى استحقاق الزوجة الأمة للنفقة، فقد تعرّض الأصحاب لجملة من المسائل المتعلّقة بذلك، إلا أنّ هذه المسائل لمّا كانت خارجة عن محلّ الابتلاء في زماننا، نطوي عنها الكلام ونعرض عن ذكرها.</w:t>
      </w:r>
    </w:p>
    <w:p w14:paraId="1E1C2D2B" w14:textId="77777777" w:rsidR="00563DC4" w:rsidRDefault="00563DC4" w:rsidP="00563DC4">
      <w:pPr>
        <w:widowControl w:val="0"/>
        <w:bidi/>
        <w:spacing w:after="0"/>
        <w:ind w:firstLine="284"/>
        <w:jc w:val="both"/>
        <w:rPr>
          <w:rFonts w:cs="Abz-2 (Badr)"/>
          <w:color w:val="000000" w:themeColor="text1"/>
          <w:sz w:val="28"/>
          <w:szCs w:val="28"/>
          <w:lang w:bidi="fa-IR"/>
        </w:rPr>
      </w:pPr>
    </w:p>
    <w:p w14:paraId="2AD04477" w14:textId="7D63A4A4" w:rsidR="00B706A3" w:rsidRPr="00563DC4" w:rsidRDefault="00B706A3" w:rsidP="00563DC4">
      <w:pPr>
        <w:rPr>
          <w:rtl/>
        </w:rPr>
      </w:pPr>
    </w:p>
    <w:sectPr w:rsidR="00B706A3" w:rsidRPr="00563DC4"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E8A53" w14:textId="77777777" w:rsidR="00FD3B6B" w:rsidRDefault="00FD3B6B" w:rsidP="00F71127">
      <w:pPr>
        <w:spacing w:after="0" w:line="240" w:lineRule="auto"/>
      </w:pPr>
      <w:r>
        <w:separator/>
      </w:r>
    </w:p>
  </w:endnote>
  <w:endnote w:type="continuationSeparator" w:id="0">
    <w:p w14:paraId="4A895204" w14:textId="77777777" w:rsidR="00FD3B6B" w:rsidRDefault="00FD3B6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DE37" w14:textId="77777777" w:rsidR="00FD3B6B" w:rsidRDefault="00FD3B6B" w:rsidP="00EE25C0">
      <w:pPr>
        <w:bidi/>
        <w:spacing w:after="0" w:line="240" w:lineRule="auto"/>
      </w:pPr>
      <w:r>
        <w:separator/>
      </w:r>
    </w:p>
  </w:footnote>
  <w:footnote w:type="continuationSeparator" w:id="0">
    <w:p w14:paraId="60676A0D" w14:textId="77777777" w:rsidR="00FD3B6B" w:rsidRDefault="00FD3B6B" w:rsidP="00F71127">
      <w:pPr>
        <w:bidi/>
        <w:spacing w:after="0" w:line="240" w:lineRule="auto"/>
      </w:pPr>
      <w:r>
        <w:continuationSeparator/>
      </w:r>
    </w:p>
  </w:footnote>
  <w:footnote w:id="1">
    <w:p w14:paraId="39FD9DCB" w14:textId="77777777" w:rsidR="00563DC4" w:rsidRDefault="00563DC4" w:rsidP="00563DC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الکلام،ج31،ص326</w:t>
      </w:r>
      <w:r>
        <w:rPr>
          <w:rFonts w:cs="Abz-2 (Badr)" w:hint="cs"/>
          <w:rtl/>
          <w:lang w:bidi="fa-IR"/>
        </w:rPr>
        <w:t>.</w:t>
      </w:r>
    </w:p>
  </w:footnote>
  <w:footnote w:id="2">
    <w:p w14:paraId="519B400C" w14:textId="77777777" w:rsidR="00563DC4" w:rsidRDefault="00563DC4" w:rsidP="00563DC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الکلام،ج31،ص326</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DAECED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1B6B4B">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1B6B4B">
                            <w:rPr>
                              <w:rFonts w:cs="B Mehr" w:hint="cs"/>
                              <w:rtl/>
                              <w:lang w:bidi="fa-IR"/>
                            </w:rPr>
                            <w:t>25</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DAECED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1B6B4B">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1B6B4B">
                      <w:rPr>
                        <w:rFonts w:cs="B Mehr" w:hint="cs"/>
                        <w:rtl/>
                        <w:lang w:bidi="fa-IR"/>
                      </w:rPr>
                      <w:t>25</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B4B"/>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DC4"/>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DA6"/>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3B6B"/>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0043189">
      <w:bodyDiv w:val="1"/>
      <w:marLeft w:val="0"/>
      <w:marRight w:val="0"/>
      <w:marTop w:val="0"/>
      <w:marBottom w:val="0"/>
      <w:divBdr>
        <w:top w:val="none" w:sz="0" w:space="0" w:color="auto"/>
        <w:left w:val="none" w:sz="0" w:space="0" w:color="auto"/>
        <w:bottom w:val="none" w:sz="0" w:space="0" w:color="auto"/>
        <w:right w:val="none" w:sz="0" w:space="0" w:color="auto"/>
      </w:divBdr>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666</cp:revision>
  <cp:lastPrinted>2025-04-14T09:12:00Z</cp:lastPrinted>
  <dcterms:created xsi:type="dcterms:W3CDTF">2022-10-16T08:36:00Z</dcterms:created>
  <dcterms:modified xsi:type="dcterms:W3CDTF">2025-11-17T15:54:00Z</dcterms:modified>
</cp:coreProperties>
</file>